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B0" w:rsidRDefault="00A252B0" w:rsidP="00A252B0">
      <w:pPr>
        <w:pStyle w:val="Default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Перелік документів для проведення попереднього оцінювання системи управління </w:t>
      </w:r>
      <w:r>
        <w:rPr>
          <w:b/>
          <w:bCs/>
          <w:lang w:val="uk-UA"/>
        </w:rPr>
        <w:br/>
        <w:t xml:space="preserve">безпечністю харчових продуктів </w:t>
      </w:r>
    </w:p>
    <w:p w:rsidR="00A252B0" w:rsidRDefault="00A252B0" w:rsidP="00A252B0">
      <w:pPr>
        <w:pStyle w:val="Default"/>
        <w:jc w:val="center"/>
        <w:rPr>
          <w:b/>
          <w:bCs/>
          <w:lang w:val="uk-UA"/>
        </w:rPr>
      </w:pP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1. Опис сфери застосування С</w:t>
      </w:r>
      <w:r w:rsidR="003C7103">
        <w:rPr>
          <w:lang w:val="uk-UA"/>
        </w:rPr>
        <w:t>К</w:t>
      </w:r>
      <w:r>
        <w:rPr>
          <w:lang w:val="uk-UA"/>
        </w:rPr>
        <w:t xml:space="preserve">БХП.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2. Політика і цілі щодо безпечності.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3. Нормативні документи, що встановлюють вимоги до продукції/послуг та виробничих процесів (технічні умови, технологічна документація).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4. Організаційна структура та документи, що описують елементи керування субпідрядними процесами (за наявності).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5. Документована інформація щодо внутрішнього та зовнішнього інформування.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6. Документи, що містять інформацію про розподіл відповідальності та повноважень в рамках С</w:t>
      </w:r>
      <w:r w:rsidR="003C7103">
        <w:rPr>
          <w:lang w:val="uk-UA"/>
        </w:rPr>
        <w:t>К</w:t>
      </w:r>
      <w:r>
        <w:rPr>
          <w:lang w:val="uk-UA"/>
        </w:rPr>
        <w:t xml:space="preserve">БХП.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7. Рішення про створення групи безпечності (групи НАССР) та дані, що підтверджують компетентність групи безпечності.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8. Документована інформація, щодо</w:t>
      </w:r>
      <w:bookmarkStart w:id="0" w:name="_GoBack"/>
      <w:bookmarkEnd w:id="0"/>
      <w:r>
        <w:rPr>
          <w:lang w:val="uk-UA"/>
        </w:rPr>
        <w:t xml:space="preserve"> вибору, розробки, застосованого моніторингу та верифікації ППУ.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 9. Документована інформація функціонування системи </w:t>
      </w:r>
      <w:proofErr w:type="spellStart"/>
      <w:r>
        <w:rPr>
          <w:lang w:val="uk-UA"/>
        </w:rPr>
        <w:t>простежуваності</w:t>
      </w:r>
      <w:proofErr w:type="spellEnd"/>
      <w:r>
        <w:rPr>
          <w:lang w:val="uk-UA"/>
        </w:rPr>
        <w:t>.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10. Документована інформація управління надзвичайними обставинами та аварійними ситуаціями.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11. Описи сировини, інгредієнтів і матеріалів, які контактують з продуктом.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12. Описи кінцевих продуктів.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13. Описи використання продуктів за призначенням.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14. Блок-схеми процесів, опис стадій процесу та заходів керування, перевірка блок-схем на місці.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15. Методологія оцінювання небезпечних чинників.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16. Методологія та результати вибирання та оцінювання заходів керування. 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17. Операційні програми-передумови (</w:t>
      </w:r>
      <w:r>
        <w:rPr>
          <w:lang w:val="en-US"/>
        </w:rPr>
        <w:t>OPRP</w:t>
      </w:r>
      <w:r>
        <w:rPr>
          <w:lang w:val="uk-UA"/>
        </w:rPr>
        <w:t xml:space="preserve">).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18. План(и) НАССР.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19. Документована інформація щодо обґрунтування обраних критичних меж.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20. Система моніторингу критичних точок керування та операційних програм-передумов (</w:t>
      </w:r>
      <w:r>
        <w:rPr>
          <w:lang w:val="en-US"/>
        </w:rPr>
        <w:t>OPRP</w:t>
      </w:r>
      <w:r>
        <w:rPr>
          <w:lang w:val="uk-UA"/>
        </w:rPr>
        <w:t xml:space="preserve">). 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21.Документована інформація щодо результатів калібрування та перевіряння використовуваного вимірювального устаткування.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22. Документована інформація щодо </w:t>
      </w:r>
      <w:proofErr w:type="spellStart"/>
      <w:r>
        <w:rPr>
          <w:lang w:val="uk-UA"/>
        </w:rPr>
        <w:t>валідації</w:t>
      </w:r>
      <w:proofErr w:type="spellEnd"/>
      <w:r>
        <w:rPr>
          <w:lang w:val="uk-UA"/>
        </w:rPr>
        <w:t xml:space="preserve"> та верифікації.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23. Документована інформація про виконання й аналізування коригування та коригувальних дій.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24. Процедури оперування потенційно небезпечними продуктами.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25. Процедура вилучення (відкликання) небезпечних продуктів.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26. Документована інформація про причину, ступінь та результат вилучення небезпечних кінцевих продуктів (у разі його здійснювання).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27. Процедура, програма та результати внутрішнього аудиту.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 xml:space="preserve">28. Аналізування з боку керівництва. </w:t>
      </w:r>
    </w:p>
    <w:p w:rsidR="00A252B0" w:rsidRDefault="00A252B0" w:rsidP="00A252B0">
      <w:pPr>
        <w:pStyle w:val="Default"/>
        <w:rPr>
          <w:lang w:val="uk-UA"/>
        </w:rPr>
      </w:pPr>
      <w:r>
        <w:rPr>
          <w:lang w:val="uk-UA"/>
        </w:rPr>
        <w:t>29. Інформація про актуалізацію С</w:t>
      </w:r>
      <w:r w:rsidR="003C7103">
        <w:rPr>
          <w:lang w:val="uk-UA"/>
        </w:rPr>
        <w:t>К</w:t>
      </w:r>
      <w:r>
        <w:rPr>
          <w:lang w:val="uk-UA"/>
        </w:rPr>
        <w:t xml:space="preserve">БХП.  </w:t>
      </w:r>
    </w:p>
    <w:p w:rsidR="00C03B86" w:rsidRPr="00B2413A" w:rsidRDefault="00C03B86" w:rsidP="00B2413A"/>
    <w:sectPr w:rsidR="00C03B86" w:rsidRPr="00B2413A" w:rsidSect="004616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panose1 w:val="00000000000000000000"/>
    <w:charset w:val="02"/>
    <w:family w:val="auto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C8"/>
    <w:rsid w:val="003C7103"/>
    <w:rsid w:val="004616C8"/>
    <w:rsid w:val="00A252B0"/>
    <w:rsid w:val="00B2413A"/>
    <w:rsid w:val="00C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4616C8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3">
    <w:name w:val="heading 3"/>
    <w:basedOn w:val="a"/>
    <w:next w:val="a"/>
    <w:link w:val="30"/>
    <w:qFormat/>
    <w:rsid w:val="004616C8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6C8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4616C8"/>
    <w:rPr>
      <w:rFonts w:ascii="Arial CYR" w:eastAsia="Times New Roman" w:hAnsi="Arial CYR" w:cs="Times New Roman"/>
      <w:b/>
      <w:szCs w:val="20"/>
      <w:lang w:val="ru-RU" w:eastAsia="x-none"/>
    </w:rPr>
  </w:style>
  <w:style w:type="paragraph" w:customStyle="1" w:styleId="21">
    <w:name w:val="Основной текст 21"/>
    <w:basedOn w:val="a"/>
    <w:rsid w:val="004616C8"/>
    <w:pPr>
      <w:suppressLineNumbers/>
      <w:ind w:firstLine="709"/>
      <w:jc w:val="both"/>
    </w:pPr>
    <w:rPr>
      <w:rFonts w:ascii="Arial CYR" w:hAnsi="Arial CYR"/>
      <w:sz w:val="22"/>
      <w:lang w:val="ru-RU"/>
    </w:rPr>
  </w:style>
  <w:style w:type="paragraph" w:styleId="a3">
    <w:name w:val="Title"/>
    <w:basedOn w:val="a"/>
    <w:link w:val="a4"/>
    <w:qFormat/>
    <w:rsid w:val="004616C8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4616C8"/>
    <w:rPr>
      <w:rFonts w:ascii="Arial" w:eastAsia="Times New Roman" w:hAnsi="Arial" w:cs="Times New Roman"/>
      <w:sz w:val="24"/>
      <w:szCs w:val="20"/>
      <w:lang w:val="uk-UA" w:eastAsia="uk-UA"/>
    </w:rPr>
  </w:style>
  <w:style w:type="paragraph" w:customStyle="1" w:styleId="a5">
    <w:name w:val="Нормальный."/>
    <w:rsid w:val="0046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customStyle="1" w:styleId="11">
    <w:name w:val="Основной текГ1т"/>
    <w:basedOn w:val="a"/>
    <w:rsid w:val="004616C8"/>
    <w:pPr>
      <w:widowControl w:val="0"/>
      <w:autoSpaceDE w:val="0"/>
      <w:autoSpaceDN w:val="0"/>
      <w:jc w:val="both"/>
    </w:pPr>
    <w:rPr>
      <w:rFonts w:ascii="PragmaticaCTT" w:hAnsi="PragmaticaCTT"/>
      <w:szCs w:val="24"/>
      <w:lang w:eastAsia="ru-RU"/>
    </w:rPr>
  </w:style>
  <w:style w:type="paragraph" w:customStyle="1" w:styleId="12">
    <w:name w:val="Нижний колонтитул1"/>
    <w:basedOn w:val="a"/>
    <w:rsid w:val="004616C8"/>
    <w:pPr>
      <w:tabs>
        <w:tab w:val="center" w:pos="4153"/>
        <w:tab w:val="right" w:pos="8306"/>
      </w:tabs>
    </w:pPr>
    <w:rPr>
      <w:rFonts w:ascii="Courier New" w:hAnsi="Courier New"/>
      <w:sz w:val="24"/>
      <w:lang w:val="ru-RU" w:eastAsia="ru-RU"/>
    </w:rPr>
  </w:style>
  <w:style w:type="paragraph" w:customStyle="1" w:styleId="Default">
    <w:name w:val="Default"/>
    <w:rsid w:val="00A25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4616C8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3">
    <w:name w:val="heading 3"/>
    <w:basedOn w:val="a"/>
    <w:next w:val="a"/>
    <w:link w:val="30"/>
    <w:qFormat/>
    <w:rsid w:val="004616C8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6C8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4616C8"/>
    <w:rPr>
      <w:rFonts w:ascii="Arial CYR" w:eastAsia="Times New Roman" w:hAnsi="Arial CYR" w:cs="Times New Roman"/>
      <w:b/>
      <w:szCs w:val="20"/>
      <w:lang w:val="ru-RU" w:eastAsia="x-none"/>
    </w:rPr>
  </w:style>
  <w:style w:type="paragraph" w:customStyle="1" w:styleId="21">
    <w:name w:val="Основной текст 21"/>
    <w:basedOn w:val="a"/>
    <w:rsid w:val="004616C8"/>
    <w:pPr>
      <w:suppressLineNumbers/>
      <w:ind w:firstLine="709"/>
      <w:jc w:val="both"/>
    </w:pPr>
    <w:rPr>
      <w:rFonts w:ascii="Arial CYR" w:hAnsi="Arial CYR"/>
      <w:sz w:val="22"/>
      <w:lang w:val="ru-RU"/>
    </w:rPr>
  </w:style>
  <w:style w:type="paragraph" w:styleId="a3">
    <w:name w:val="Title"/>
    <w:basedOn w:val="a"/>
    <w:link w:val="a4"/>
    <w:qFormat/>
    <w:rsid w:val="004616C8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4616C8"/>
    <w:rPr>
      <w:rFonts w:ascii="Arial" w:eastAsia="Times New Roman" w:hAnsi="Arial" w:cs="Times New Roman"/>
      <w:sz w:val="24"/>
      <w:szCs w:val="20"/>
      <w:lang w:val="uk-UA" w:eastAsia="uk-UA"/>
    </w:rPr>
  </w:style>
  <w:style w:type="paragraph" w:customStyle="1" w:styleId="a5">
    <w:name w:val="Нормальный."/>
    <w:rsid w:val="0046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customStyle="1" w:styleId="11">
    <w:name w:val="Основной текГ1т"/>
    <w:basedOn w:val="a"/>
    <w:rsid w:val="004616C8"/>
    <w:pPr>
      <w:widowControl w:val="0"/>
      <w:autoSpaceDE w:val="0"/>
      <w:autoSpaceDN w:val="0"/>
      <w:jc w:val="both"/>
    </w:pPr>
    <w:rPr>
      <w:rFonts w:ascii="PragmaticaCTT" w:hAnsi="PragmaticaCTT"/>
      <w:szCs w:val="24"/>
      <w:lang w:eastAsia="ru-RU"/>
    </w:rPr>
  </w:style>
  <w:style w:type="paragraph" w:customStyle="1" w:styleId="12">
    <w:name w:val="Нижний колонтитул1"/>
    <w:basedOn w:val="a"/>
    <w:rsid w:val="004616C8"/>
    <w:pPr>
      <w:tabs>
        <w:tab w:val="center" w:pos="4153"/>
        <w:tab w:val="right" w:pos="8306"/>
      </w:tabs>
    </w:pPr>
    <w:rPr>
      <w:rFonts w:ascii="Courier New" w:hAnsi="Courier New"/>
      <w:sz w:val="24"/>
      <w:lang w:val="ru-RU" w:eastAsia="ru-RU"/>
    </w:rPr>
  </w:style>
  <w:style w:type="paragraph" w:customStyle="1" w:styleId="Default">
    <w:name w:val="Default"/>
    <w:rsid w:val="00A25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2023-01-15T15:50:00Z</dcterms:created>
  <dcterms:modified xsi:type="dcterms:W3CDTF">2024-11-25T20:29:00Z</dcterms:modified>
</cp:coreProperties>
</file>